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New Hire Setup Checklist</w:t>
      </w:r>
    </w:p>
    <w:p>
      <w:pPr>
        <w:pStyle w:val="FirstParagraph"/>
      </w:pPr>
      <w:r>
        <w:t xml:space="preserve">New Hire Setup Checklist</w:t>
      </w:r>
    </w:p>
    <w:p>
      <w:pPr>
        <w:pStyle w:val="BodyText"/>
      </w:pPr>
    </w:p>
    <w:p>
      <w:pPr>
        <w:pStyle w:val="BodyText"/>
      </w:pPr>
      <w:r>
        <w:t xml:space="preserve">Treantly</w:t>
      </w:r>
    </w:p>
    <w:bookmarkStart w:id="9" w:name="new-hire-setup-checklist"/>
    <w:p>
      <w:pPr>
        <w:pStyle w:val="Heading1"/>
      </w:pPr>
      <w:r>
        <w:t xml:space="preserve">New Hire Setup Checklist</w:t>
      </w:r>
    </w:p>
    <w:p>
      <w:pPr>
        <w:pStyle w:val="FirstParagraph"/>
      </w:pPr>
      <w:r>
        <w:t xml:space="preserve">What to do, in order, right after adding a new employee record</w:t>
      </w:r>
    </w:p>
    <w:p>
      <w:pPr>
        <w:pStyle w:val="BodyText"/>
      </w:pPr>
      <w:r>
        <w:t xml:space="preserve">For: HR &amp; Super Admin</w:t>
      </w:r>
    </w:p>
    <w:bookmarkEnd w:id="9"/>
    <w:p>
      <w:pPr>
        <w:pStyle w:val="BodyText"/>
      </w:pPr>
      <w:r>
        <w:t xml:space="preserve">In this checklist</w:t>
      </w:r>
    </w:p>
    <w:p>
      <w:pPr>
        <w:pStyle w:val="Compact"/>
        <w:numPr>
          <w:ilvl w:val="0"/>
          <w:numId w:val="1001"/>
        </w:numPr>
      </w:pPr>
      <w:hyperlink w:anchor="before-you-start">
        <w:r>
          <w:rPr>
            <w:rStyle w:val="Hyperlink"/>
          </w:rPr>
          <w:t xml:space="preserve">Before You Start</w:t>
        </w:r>
      </w:hyperlink>
    </w:p>
    <w:p>
      <w:pPr>
        <w:pStyle w:val="Compact"/>
        <w:numPr>
          <w:ilvl w:val="0"/>
          <w:numId w:val="1001"/>
        </w:numPr>
      </w:pPr>
      <w:hyperlink w:anchor="the-checklist">
        <w:r>
          <w:rPr>
            <w:rStyle w:val="Hyperlink"/>
          </w:rPr>
          <w:t xml:space="preserve">The Checklist</w:t>
        </w:r>
      </w:hyperlink>
    </w:p>
    <w:p>
      <w:pPr>
        <w:pStyle w:val="Compact"/>
        <w:numPr>
          <w:ilvl w:val="0"/>
          <w:numId w:val="1001"/>
        </w:numPr>
      </w:pPr>
      <w:hyperlink w:anchor="day-one">
        <w:r>
          <w:rPr>
            <w:rStyle w:val="Hyperlink"/>
          </w:rPr>
          <w:t xml:space="preserve">Confirming Day One</w:t>
        </w:r>
      </w:hyperlink>
    </w:p>
    <w:bookmarkStart w:id="10" w:name="before-you-start"/>
    <w:p>
      <w:pPr>
        <w:pStyle w:val="Heading2"/>
      </w:pPr>
      <w:r>
        <w:t xml:space="preserve">1</w:t>
      </w:r>
      <w:r>
        <w:t xml:space="preserve">Before You Start</w:t>
      </w:r>
    </w:p>
    <w:p>
      <w:pPr>
        <w:pStyle w:val="FirstParagraph"/>
      </w:pPr>
      <w:r>
        <w:t xml:space="preserve">This is a sequence, not a reference — for the full detail behind any single step, follow the link to that</w:t>
      </w:r>
      <w:r>
        <w:t xml:space="preserve"> </w:t>
      </w:r>
      <w:r>
        <w:t xml:space="preserve">step's own manual. Steps 1 and 2 below are hard requirements enforced by the system itself (you genuinely</w:t>
      </w:r>
      <w:r>
        <w:t xml:space="preserve"> </w:t>
      </w:r>
      <w:r>
        <w:t xml:space="preserve">cannot skip them); everything after that is a strong recommendation for order, not an enforced rule.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Reusing an existing record for someone who's worked with Treantly before? Search for them from the Add</w:t>
      </w:r>
      <w:r>
        <w:t xml:space="preserve"> </w:t>
      </w:r>
      <w:r>
        <w:t xml:space="preserve">Employee flow instead of creating a duplicate — see the Employee Management Manual's "Reusing an existing</w:t>
      </w:r>
      <w:r>
        <w:t xml:space="preserve"> </w:t>
      </w:r>
      <w:r>
        <w:t xml:space="preserve">record." That skips straight to step 3 below, since Basic Info and Job Details already exist.</w:t>
      </w:r>
    </w:p>
    <w:bookmarkEnd w:id="10"/>
    <w:bookmarkStart w:id="11" w:name="the-checklist"/>
    <w:p>
      <w:pPr>
        <w:pStyle w:val="Heading2"/>
      </w:pPr>
      <w:r>
        <w:t xml:space="preserve">2</w:t>
      </w:r>
      <w:r>
        <w:t xml:space="preserve">The Checklist</w:t>
      </w:r>
    </w:p>
    <w:p>
      <w:pPr>
        <w:pStyle w:val="Compact"/>
        <w:numPr>
          <w:ilvl w:val="0"/>
          <w:numId w:val="1002"/>
        </w:numPr>
      </w:pPr>
      <w:r>
        <w:t xml:space="preserve">1</w:t>
      </w:r>
    </w:p>
    <w:p>
      <w:pPr>
        <w:pStyle w:val="Compact"/>
        <w:numPr>
          <w:ilvl w:val="0"/>
          <w:numId w:val="1000"/>
        </w:numPr>
      </w:pPr>
      <w:r>
        <w:t xml:space="preserve">Add the employee record</w:t>
      </w:r>
    </w:p>
    <w:p>
      <w:pPr>
        <w:numPr>
          <w:ilvl w:val="0"/>
          <w:numId w:val="1000"/>
        </w:numPr>
      </w:pPr>
      <w:r>
        <w:t xml:space="preserve">Basic Information + Job Details — Employee ID, name, contact info, Client/Role/Job Code (via</w:t>
      </w:r>
      <w:r>
        <w:t xml:space="preserve"> </w:t>
      </w:r>
      <w:r>
        <w:rPr>
          <w:b/>
          <w:bCs/>
        </w:rPr>
        <w:t xml:space="preserve">Search client &amp; job</w:t>
      </w:r>
      <w:r>
        <w:t xml:space="preserve">), Date Hired. Saving takes you straight into Edit mode on the same</w:t>
      </w:r>
      <w:r>
        <w:t xml:space="preserve"> </w:t>
      </w:r>
      <w:r>
        <w:t xml:space="preserve">record, not back to the list — that's deliberate, since Work Schedule (next) needs a real employee ID to</w:t>
      </w:r>
      <w:r>
        <w:t xml:space="preserve"> </w:t>
      </w:r>
      <w:r>
        <w:t xml:space="preserve">attach to. See the Employee Management Manual, Sections 2–3.</w:t>
      </w:r>
    </w:p>
    <w:p>
      <w:pPr>
        <w:pStyle w:val="Compact"/>
        <w:numPr>
          <w:ilvl w:val="0"/>
          <w:numId w:val="1002"/>
        </w:numPr>
      </w:pPr>
      <w:r>
        <w:t xml:space="preserve">2</w:t>
      </w:r>
    </w:p>
    <w:p>
      <w:pPr>
        <w:pStyle w:val="Compact"/>
        <w:numPr>
          <w:ilvl w:val="0"/>
          <w:numId w:val="1000"/>
        </w:numPr>
      </w:pPr>
      <w:r>
        <w:t xml:space="preserve">Set up Work Schedule</w:t>
      </w:r>
      <w:r>
        <w:t xml:space="preserve"> </w:t>
      </w:r>
      <w:r>
        <w:t xml:space="preserve">Required</w:t>
      </w:r>
    </w:p>
    <w:p>
      <w:pPr>
        <w:numPr>
          <w:ilvl w:val="0"/>
          <w:numId w:val="1000"/>
        </w:numPr>
      </w:pPr>
      <w:r>
        <w:t xml:space="preserve">Either a fixed Mon–Fri (or whatever days actually apply) day-by-day grid with start/end times, or — if</w:t>
      </w:r>
      <w:r>
        <w:t xml:space="preserve"> </w:t>
      </w:r>
      <w:r>
        <w:t xml:space="preserve">the hours genuinely vary and won't settle into a fixed shift — the</w:t>
      </w:r>
      <w:r>
        <w:t xml:space="preserve"> </w:t>
      </w:r>
      <w:r>
        <w:rPr>
          <w:b/>
          <w:bCs/>
        </w:rPr>
        <w:t xml:space="preserve">No Fixed Schedule</w:t>
      </w:r>
      <w:r>
        <w:t xml:space="preserve"> </w:t>
      </w:r>
      <w:r>
        <w:t xml:space="preserve">toggle instead, with a note and (optional) Agreed Hours.</w:t>
      </w:r>
      <w:r>
        <w:t xml:space="preserve"> </w:t>
      </w:r>
      <w:r>
        <w:rPr>
          <w:b/>
          <w:bCs/>
        </w:rPr>
        <w:t xml:space="preserve">The record can't be saved at all until one</w:t>
      </w:r>
      <w:r>
        <w:rPr>
          <w:b/>
          <w:bCs/>
        </w:rPr>
        <w:t xml:space="preserve"> </w:t>
      </w:r>
      <w:r>
        <w:rPr>
          <w:b/>
          <w:bCs/>
        </w:rPr>
        <w:t xml:space="preserve">of these is filled in</w:t>
      </w:r>
      <w:r>
        <w:t xml:space="preserve"> </w:t>
      </w:r>
      <w:r>
        <w:t xml:space="preserve">— this is the one step you truly cannot skip or come back to later. See the</w:t>
      </w:r>
      <w:r>
        <w:t xml:space="preserve"> </w:t>
      </w:r>
      <w:r>
        <w:t xml:space="preserve">Employee Management Manual, Section 4.</w:t>
      </w:r>
    </w:p>
    <w:p>
      <w:pPr>
        <w:pStyle w:val="Compact"/>
        <w:numPr>
          <w:ilvl w:val="0"/>
          <w:numId w:val="1002"/>
        </w:numPr>
      </w:pPr>
      <w:r>
        <w:t xml:space="preserve">3</w:t>
      </w:r>
    </w:p>
    <w:p>
      <w:pPr>
        <w:pStyle w:val="Compact"/>
        <w:numPr>
          <w:ilvl w:val="0"/>
          <w:numId w:val="1000"/>
        </w:numPr>
      </w:pPr>
      <w:r>
        <w:t xml:space="preserve">Enter Salary</w:t>
      </w:r>
    </w:p>
    <w:p>
      <w:pPr>
        <w:numPr>
          <w:ilvl w:val="0"/>
          <w:numId w:val="1000"/>
        </w:numPr>
      </w:pPr>
      <w:r>
        <w:t xml:space="preserve">VA Rate (what they're paid) and Client Rate (what the client is billed), each with its own currency and</w:t>
      </w:r>
      <w:r>
        <w:t xml:space="preserve"> </w:t>
      </w:r>
      <w:r>
        <w:t xml:space="preserve">frequency. Set</w:t>
      </w:r>
      <w:r>
        <w:t xml:space="preserve"> </w:t>
      </w:r>
      <w:r>
        <w:rPr>
          <w:b/>
          <w:bCs/>
        </w:rPr>
        <w:t xml:space="preserve">Effective Date</w:t>
      </w:r>
      <w:r>
        <w:t xml:space="preserve"> </w:t>
      </w:r>
      <w:r>
        <w:t xml:space="preserve">to the real date this rate starts — usually</w:t>
      </w:r>
      <w:r>
        <w:t xml:space="preserve"> </w:t>
      </w:r>
      <w:r>
        <w:t xml:space="preserve">Date Hired for a brand-new employee — since this is what payroll uses if their first period needs a</w:t>
      </w:r>
      <w:r>
        <w:t xml:space="preserve"> </w:t>
      </w:r>
      <w:r>
        <w:t xml:space="preserve">mid-period split. See the Salary Effective Date Guide for why this field matters, and the Employee</w:t>
      </w:r>
      <w:r>
        <w:t xml:space="preserve"> </w:t>
      </w:r>
      <w:r>
        <w:t xml:space="preserve">Management Manual, Section 5, for the rest of the Salary fields.</w:t>
      </w:r>
    </w:p>
    <w:p>
      <w:pPr>
        <w:pStyle w:val="Compact"/>
        <w:numPr>
          <w:ilvl w:val="0"/>
          <w:numId w:val="1002"/>
        </w:numPr>
      </w:pPr>
      <w:r>
        <w:t xml:space="preserve">4</w:t>
      </w:r>
    </w:p>
    <w:p>
      <w:pPr>
        <w:pStyle w:val="Compact"/>
        <w:numPr>
          <w:ilvl w:val="0"/>
          <w:numId w:val="1000"/>
        </w:numPr>
      </w:pPr>
      <w:r>
        <w:t xml:space="preserve">HMO enrollment — if this role includes it</w:t>
      </w:r>
    </w:p>
    <w:p>
      <w:pPr>
        <w:numPr>
          <w:ilvl w:val="0"/>
          <w:numId w:val="1000"/>
        </w:numPr>
      </w:pPr>
      <w:r>
        <w:t xml:space="preserve">Batch Number, Account Type (Individual/Family), premium and dependent-deduction figures. Skip entirely</w:t>
      </w:r>
      <w:r>
        <w:t xml:space="preserve"> </w:t>
      </w:r>
      <w:r>
        <w:t xml:space="preserve">if this employee isn't HMO-eligible yet (e.g. still on probation) — it can be added later once they are.</w:t>
      </w:r>
      <w:r>
        <w:t xml:space="preserve"> </w:t>
      </w:r>
      <w:r>
        <w:t xml:space="preserve">Full field reference and the auto-generated payment schedule: Employee Management Manual Section 6 and the</w:t>
      </w:r>
      <w:r>
        <w:t xml:space="preserve"> </w:t>
      </w:r>
      <w:r>
        <w:t xml:space="preserve">Payroll Processing Manual, Section 4.</w:t>
      </w:r>
    </w:p>
    <w:p>
      <w:pPr>
        <w:pStyle w:val="Compact"/>
        <w:numPr>
          <w:ilvl w:val="0"/>
          <w:numId w:val="1002"/>
        </w:numPr>
      </w:pPr>
      <w:r>
        <w:t xml:space="preserve">5</w:t>
      </w:r>
    </w:p>
    <w:p>
      <w:pPr>
        <w:pStyle w:val="Compact"/>
        <w:numPr>
          <w:ilvl w:val="0"/>
          <w:numId w:val="1000"/>
        </w:numPr>
      </w:pPr>
      <w:r>
        <w:t xml:space="preserve">Loans — only if one already exists at onboarding</w:t>
      </w:r>
    </w:p>
    <w:p>
      <w:pPr>
        <w:numPr>
          <w:ilvl w:val="0"/>
          <w:numId w:val="1000"/>
        </w:numPr>
      </w:pPr>
      <w:r>
        <w:t xml:space="preserve">Uncommon this early, but if there's a signing bonus structured as a loan or similar, set it up here:</w:t>
      </w:r>
      <w:r>
        <w:t xml:space="preserve"> </w:t>
      </w:r>
      <w:r>
        <w:t xml:space="preserve">principal, per-term deduction amount, and terms. Otherwise skip — this is far more commonly added later in</w:t>
      </w:r>
      <w:r>
        <w:t xml:space="preserve"> </w:t>
      </w:r>
      <w:r>
        <w:t xml:space="preserve">someone's employment. See Employee Management Manual, Section 6.</w:t>
      </w:r>
    </w:p>
    <w:p>
      <w:pPr>
        <w:pStyle w:val="Compact"/>
        <w:numPr>
          <w:ilvl w:val="0"/>
          <w:numId w:val="1002"/>
        </w:numPr>
      </w:pPr>
      <w:r>
        <w:t xml:space="preserve">6</w:t>
      </w:r>
    </w:p>
    <w:p>
      <w:pPr>
        <w:pStyle w:val="Compact"/>
        <w:numPr>
          <w:ilvl w:val="0"/>
          <w:numId w:val="1000"/>
        </w:numPr>
      </w:pPr>
      <w:r>
        <w:t xml:space="preserve">PTO / Leave Balance</w:t>
      </w:r>
    </w:p>
    <w:p>
      <w:pPr>
        <w:numPr>
          <w:ilvl w:val="0"/>
          <w:numId w:val="1000"/>
        </w:numPr>
      </w:pPr>
      <w:r>
        <w:t xml:space="preserve">Set Grant Mode (manual one-time grants vs. automatic accrual) and the starting balance. See the PTO</w:t>
      </w:r>
      <w:r>
        <w:t xml:space="preserve"> </w:t>
      </w:r>
      <w:r>
        <w:t xml:space="preserve">&amp; Leave Management Manual for the full Grant Mode explanation and how the two modes behave</w:t>
      </w:r>
      <w:r>
        <w:t xml:space="preserve"> </w:t>
      </w:r>
      <w:r>
        <w:t xml:space="preserve">differently.</w:t>
      </w:r>
    </w:p>
    <w:p>
      <w:pPr>
        <w:pStyle w:val="Compact"/>
        <w:numPr>
          <w:ilvl w:val="0"/>
          <w:numId w:val="1002"/>
        </w:numPr>
      </w:pPr>
      <w:r>
        <w:t xml:space="preserve">7</w:t>
      </w:r>
    </w:p>
    <w:p>
      <w:pPr>
        <w:pStyle w:val="Compact"/>
        <w:numPr>
          <w:ilvl w:val="0"/>
          <w:numId w:val="1000"/>
        </w:numPr>
      </w:pPr>
      <w:r>
        <w:t xml:space="preserve">Assign Timesheet Approvers</w:t>
      </w:r>
    </w:p>
    <w:p>
      <w:pPr>
        <w:numPr>
          <w:ilvl w:val="0"/>
          <w:numId w:val="1000"/>
        </w:numPr>
      </w:pPr>
      <w:r>
        <w:t xml:space="preserve">Client-side approvers who'll review this employee's submitted timesheets in the Partner Portal, no cap</w:t>
      </w:r>
      <w:r>
        <w:t xml:space="preserve"> </w:t>
      </w:r>
      <w:r>
        <w:t xml:space="preserve">on how many. Without at least one assigned, timesheets still auto-approve after 5 days with no one</w:t>
      </w:r>
      <w:r>
        <w:t xml:space="preserve"> </w:t>
      </w:r>
      <w:r>
        <w:t xml:space="preserve">actively reviewing them first — see the Partner Portal Manual. Employee Management Manual, Section 7.</w:t>
      </w:r>
    </w:p>
    <w:bookmarkEnd w:id="11"/>
    <w:bookmarkStart w:id="13" w:name="day-one"/>
    <w:p>
      <w:pPr>
        <w:pStyle w:val="Heading2"/>
      </w:pPr>
      <w:bookmarkStart w:id="12" w:name="confirming-day-one"/>
      <w:r>
        <w:t xml:space="preserve">3</w:t>
      </w:r>
      <w:r>
        <w:t xml:space="preserve">Confirming Day One</w:t>
      </w:r>
      <w:bookmarkEnd w:id="12"/>
    </w:p>
    <w:p>
      <w:pPr>
        <w:pStyle w:val="FirstParagraph"/>
      </w:pPr>
      <w:r>
        <w:t xml:space="preserve">Once the record is fully set up, confirm the employee can actually get in and submit work:</w:t>
      </w:r>
    </w:p>
    <w:p>
      <w:pPr>
        <w:pStyle w:val="Compact"/>
        <w:numPr>
          <w:ilvl w:val="0"/>
          <w:numId w:val="1003"/>
        </w:numPr>
      </w:pPr>
      <w:r>
        <w:t xml:space="preserve">They can log into the</w:t>
      </w:r>
      <w:r>
        <w:t xml:space="preserve"> </w:t>
      </w:r>
      <w:r>
        <w:rPr>
          <w:b/>
          <w:bCs/>
        </w:rPr>
        <w:t xml:space="preserve">TA Portal</w:t>
      </w:r>
      <w:r>
        <w:t xml:space="preserve"> </w:t>
      </w:r>
      <w:r>
        <w:t xml:space="preserve">with their Employee ID.</w:t>
      </w:r>
    </w:p>
    <w:p>
      <w:pPr>
        <w:pStyle w:val="Compact"/>
        <w:numPr>
          <w:ilvl w:val="0"/>
          <w:numId w:val="1003"/>
        </w:numPr>
      </w:pPr>
      <w:r>
        <w:t xml:space="preserve">Their Timesheet page shows the correct Work Schedule (or the flexible-hours note, if no fixed schedule)</w:t>
      </w:r>
      <w:r>
        <w:t xml:space="preserve"> </w:t>
      </w:r>
      <w:r>
        <w:t xml:space="preserve">and the correct Client.</w:t>
      </w:r>
    </w:p>
    <w:p>
      <w:pPr>
        <w:pStyle w:val="Compact"/>
        <w:numPr>
          <w:ilvl w:val="0"/>
          <w:numId w:val="1003"/>
        </w:numPr>
      </w:pPr>
      <w:r>
        <w:t xml:space="preserve">If they're eligible for On-Call, Overtime, or a Stipend, those toggles are set correctly in the Work</w:t>
      </w:r>
      <w:r>
        <w:t xml:space="preserve"> </w:t>
      </w:r>
      <w:r>
        <w:t xml:space="preserve">Schedule editor (Employee Management Manual, Section 4) — easy to miss since they're bundled into the same</w:t>
      </w:r>
      <w:r>
        <w:t xml:space="preserve"> </w:t>
      </w:r>
      <w:r>
        <w:t xml:space="preserve">form as the day-by-day grid.</w:t>
      </w:r>
    </w:p>
    <w:p>
      <w:pPr>
        <w:pStyle w:val="FirstParagraph"/>
      </w:pPr>
      <w:r>
        <w:t xml:space="preserve">⚠️</w:t>
      </w:r>
    </w:p>
    <w:p>
      <w:pPr>
        <w:pStyle w:val="BodyText"/>
      </w:pPr>
      <w:r>
        <w:t xml:space="preserve">Everything above can technically be edited again later if something was missed — nothing here is one-way</w:t>
      </w:r>
      <w:r>
        <w:t xml:space="preserve"> </w:t>
      </w:r>
      <w:r>
        <w:t xml:space="preserve">except Employee ID. But catching gaps now, before the first payroll period closes, avoids a mid-period</w:t>
      </w:r>
      <w:r>
        <w:t xml:space="preserve"> </w:t>
      </w:r>
      <w:r>
        <w:t xml:space="preserve">correction (see the Salary Effective Date Guide for what that involves if a rate was involved).</w:t>
      </w:r>
    </w:p>
    <w:bookmarkEnd w:id="13"/>
    <w:p>
      <w:pPr>
        <w:pStyle w:val="BodyText"/>
      </w:pPr>
      <w:r>
        <w:t xml:space="preserve">Treantly HRIS — for questions not covered here, reach out to your Treantly team or</w:t>
      </w:r>
      <w:r>
        <w:t xml:space="preserve"> </w:t>
      </w:r>
      <w:hyperlink r:id="rId14">
        <w:r>
          <w:rPr>
            <w:rStyle w:val="Hyperlink"/>
          </w:rPr>
          <w:t xml:space="preserve">accounting@treantly.com</w:t>
        </w:r>
      </w:hyperlink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mailto:accounting@treantl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mailto:accounting@treantl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Hire Setup Checklist</dc:title>
  <dc:creator/>
  <cp:keywords/>
  <dcterms:created xsi:type="dcterms:W3CDTF">2026-09-23T21:25:26Z</dcterms:created>
  <dcterms:modified xsi:type="dcterms:W3CDTF">2026-09-23T21:25:26Z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